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18BA7" w14:textId="458987A9" w:rsidR="005210B6" w:rsidRPr="00641C43" w:rsidRDefault="002C73AA">
      <w:pPr>
        <w:rPr>
          <w:rFonts w:ascii="Garamond" w:hAnsi="Garamond"/>
          <w:b/>
          <w:sz w:val="28"/>
          <w:szCs w:val="28"/>
        </w:rPr>
      </w:pPr>
      <w:proofErr w:type="gramStart"/>
      <w:r w:rsidRPr="00641C43">
        <w:rPr>
          <w:rFonts w:ascii="Garamond" w:hAnsi="Garamond"/>
          <w:b/>
          <w:i/>
          <w:sz w:val="28"/>
          <w:szCs w:val="28"/>
        </w:rPr>
        <w:t>Misthos</w:t>
      </w:r>
      <w:r w:rsidRPr="00641C43">
        <w:rPr>
          <w:rFonts w:ascii="Garamond" w:hAnsi="Garamond"/>
          <w:b/>
          <w:sz w:val="28"/>
          <w:szCs w:val="28"/>
        </w:rPr>
        <w:t xml:space="preserve">, </w:t>
      </w:r>
      <w:r w:rsidRPr="00641C43">
        <w:rPr>
          <w:rFonts w:ascii="Garamond" w:hAnsi="Garamond"/>
          <w:b/>
          <w:i/>
          <w:sz w:val="28"/>
          <w:szCs w:val="28"/>
        </w:rPr>
        <w:t>apophora</w:t>
      </w:r>
      <w:r w:rsidRPr="00641C43">
        <w:rPr>
          <w:rFonts w:ascii="Garamond" w:hAnsi="Garamond"/>
          <w:b/>
          <w:sz w:val="28"/>
          <w:szCs w:val="28"/>
        </w:rPr>
        <w:t>, or something else?</w:t>
      </w:r>
      <w:proofErr w:type="gramEnd"/>
      <w:r w:rsidRPr="00641C43">
        <w:rPr>
          <w:rFonts w:ascii="Garamond" w:hAnsi="Garamond"/>
          <w:b/>
          <w:sz w:val="28"/>
          <w:szCs w:val="28"/>
        </w:rPr>
        <w:t xml:space="preserve"> A fresh look at </w:t>
      </w:r>
      <w:r w:rsidRPr="00641C43">
        <w:rPr>
          <w:rFonts w:ascii="Garamond" w:hAnsi="Garamond"/>
          <w:b/>
          <w:i/>
          <w:sz w:val="28"/>
          <w:szCs w:val="28"/>
        </w:rPr>
        <w:t>SEG</w:t>
      </w:r>
      <w:r w:rsidRPr="00641C43">
        <w:rPr>
          <w:rFonts w:ascii="Garamond" w:hAnsi="Garamond"/>
          <w:b/>
          <w:sz w:val="28"/>
          <w:szCs w:val="28"/>
        </w:rPr>
        <w:t xml:space="preserve"> XXXV 134</w:t>
      </w:r>
    </w:p>
    <w:p w14:paraId="4D977E27" w14:textId="77777777" w:rsidR="002C73AA" w:rsidRPr="002C73AA" w:rsidRDefault="002C73AA">
      <w:pPr>
        <w:rPr>
          <w:rFonts w:ascii="Garamond" w:hAnsi="Garamond"/>
        </w:rPr>
      </w:pPr>
    </w:p>
    <w:p w14:paraId="47CF7B01" w14:textId="77777777" w:rsidR="002C73AA" w:rsidRDefault="002C73AA">
      <w:pPr>
        <w:rPr>
          <w:rFonts w:ascii="Garamond" w:hAnsi="Garamond"/>
        </w:rPr>
      </w:pPr>
      <w:r>
        <w:rPr>
          <w:rFonts w:ascii="Garamond" w:hAnsi="Garamond"/>
        </w:rPr>
        <w:t>David Lewis, University of Nottingham, UK</w:t>
      </w:r>
    </w:p>
    <w:p w14:paraId="7DAEB139" w14:textId="77777777" w:rsidR="002C73AA" w:rsidRDefault="002C73AA">
      <w:pPr>
        <w:rPr>
          <w:rFonts w:ascii="Garamond" w:hAnsi="Garamond"/>
        </w:rPr>
      </w:pPr>
    </w:p>
    <w:p w14:paraId="31D1CC12" w14:textId="5E44EF4D" w:rsidR="002C73AA" w:rsidRDefault="002C73AA">
      <w:pPr>
        <w:rPr>
          <w:rFonts w:ascii="Garamond" w:hAnsi="Garamond"/>
        </w:rPr>
      </w:pPr>
      <w:r>
        <w:rPr>
          <w:rFonts w:ascii="Garamond" w:hAnsi="Garamond"/>
        </w:rPr>
        <w:t>In 1985 Alan Johnston published a fascinating and enigmatic text fo</w:t>
      </w:r>
      <w:r w:rsidR="00B62744">
        <w:rPr>
          <w:rFonts w:ascii="Garamond" w:hAnsi="Garamond"/>
        </w:rPr>
        <w:t>und in the Kerameikos at Athens and</w:t>
      </w:r>
      <w:r>
        <w:rPr>
          <w:rFonts w:ascii="Garamond" w:hAnsi="Garamond"/>
        </w:rPr>
        <w:t xml:space="preserve"> dating to </w:t>
      </w:r>
      <w:r>
        <w:rPr>
          <w:rFonts w:ascii="Garamond" w:hAnsi="Garamond"/>
          <w:i/>
        </w:rPr>
        <w:t xml:space="preserve">c. </w:t>
      </w:r>
      <w:r>
        <w:rPr>
          <w:rFonts w:ascii="Garamond" w:hAnsi="Garamond"/>
        </w:rPr>
        <w:t>350 BC (‘A Fourth Century Gra</w:t>
      </w:r>
      <w:r w:rsidR="003C377F">
        <w:rPr>
          <w:rFonts w:ascii="Garamond" w:hAnsi="Garamond"/>
        </w:rPr>
        <w:t>ffito from the Ker</w:t>
      </w:r>
      <w:r w:rsidR="005A602C">
        <w:rPr>
          <w:rFonts w:ascii="Garamond" w:hAnsi="Garamond"/>
        </w:rPr>
        <w:t>a</w:t>
      </w:r>
      <w:r w:rsidR="003C377F">
        <w:rPr>
          <w:rFonts w:ascii="Garamond" w:hAnsi="Garamond"/>
        </w:rPr>
        <w:t>meikos’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 xml:space="preserve">MDAI(A) </w:t>
      </w:r>
      <w:r>
        <w:rPr>
          <w:rFonts w:ascii="Garamond" w:hAnsi="Garamond"/>
        </w:rPr>
        <w:t xml:space="preserve">100: 293-307). Written on an ostrakon (the bottom of a plate, to be precise), the text provides a list of names and figures. The onomastics themselves are of great interest due to the frequency of foreign names, which taken individually prove </w:t>
      </w:r>
      <w:bookmarkStart w:id="0" w:name="_GoBack"/>
      <w:bookmarkEnd w:id="0"/>
      <w:r>
        <w:rPr>
          <w:rFonts w:ascii="Garamond" w:hAnsi="Garamond"/>
        </w:rPr>
        <w:t>nothing, but in such a concentration make it virtually certain that we are dealing with a number of non-citizens</w:t>
      </w:r>
      <w:r w:rsidR="003C377F">
        <w:rPr>
          <w:rFonts w:ascii="Garamond" w:hAnsi="Garamond"/>
        </w:rPr>
        <w:t xml:space="preserve"> or at the very least a mixture of statuses</w:t>
      </w:r>
      <w:r>
        <w:rPr>
          <w:rFonts w:ascii="Garamond" w:hAnsi="Garamond"/>
        </w:rPr>
        <w:t xml:space="preserve">. As for the figures, Johnston put forward two suggestions: they were figures recording either </w:t>
      </w:r>
      <w:r>
        <w:rPr>
          <w:rFonts w:ascii="Garamond" w:hAnsi="Garamond"/>
          <w:i/>
        </w:rPr>
        <w:t>misthos</w:t>
      </w:r>
      <w:r>
        <w:rPr>
          <w:rFonts w:ascii="Garamond" w:hAnsi="Garamond"/>
        </w:rPr>
        <w:t xml:space="preserve"> or </w:t>
      </w:r>
      <w:r>
        <w:rPr>
          <w:rFonts w:ascii="Garamond" w:hAnsi="Garamond"/>
          <w:i/>
        </w:rPr>
        <w:t>apophora</w:t>
      </w:r>
      <w:r>
        <w:rPr>
          <w:rFonts w:ascii="Garamond" w:hAnsi="Garamond"/>
        </w:rPr>
        <w:t xml:space="preserve"> payments relating to the named individuals, who were slaves. In other words, t</w:t>
      </w:r>
      <w:r w:rsidR="00B62744">
        <w:rPr>
          <w:rFonts w:ascii="Garamond" w:hAnsi="Garamond"/>
        </w:rPr>
        <w:t>he figures represented either (i</w:t>
      </w:r>
      <w:r>
        <w:rPr>
          <w:rFonts w:ascii="Garamond" w:hAnsi="Garamond"/>
        </w:rPr>
        <w:t>) payments made to a slaveholder b</w:t>
      </w:r>
      <w:r w:rsidR="00B62744">
        <w:rPr>
          <w:rFonts w:ascii="Garamond" w:hAnsi="Garamond"/>
        </w:rPr>
        <w:t>y a third party who had</w:t>
      </w:r>
      <w:r w:rsidR="00997ECE">
        <w:rPr>
          <w:rFonts w:ascii="Garamond" w:hAnsi="Garamond"/>
        </w:rPr>
        <w:t xml:space="preserve"> rented the</w:t>
      </w:r>
      <w:r w:rsidR="00B62744">
        <w:rPr>
          <w:rFonts w:ascii="Garamond" w:hAnsi="Garamond"/>
        </w:rPr>
        <w:t xml:space="preserve"> slave, or (ii</w:t>
      </w:r>
      <w:r>
        <w:rPr>
          <w:rFonts w:ascii="Garamond" w:hAnsi="Garamond"/>
        </w:rPr>
        <w:t xml:space="preserve">) a fixed fee paid by slaves to their owners </w:t>
      </w:r>
      <w:r w:rsidR="00997ECE">
        <w:rPr>
          <w:rFonts w:ascii="Garamond" w:hAnsi="Garamond"/>
        </w:rPr>
        <w:t xml:space="preserve">(usually </w:t>
      </w:r>
      <w:r>
        <w:rPr>
          <w:rFonts w:ascii="Garamond" w:hAnsi="Garamond"/>
        </w:rPr>
        <w:t>in the circumstance of the slave working relatively independen</w:t>
      </w:r>
      <w:r w:rsidR="00997ECE">
        <w:rPr>
          <w:rFonts w:ascii="Garamond" w:hAnsi="Garamond"/>
        </w:rPr>
        <w:t xml:space="preserve">tly, unsupervised by the owner; </w:t>
      </w:r>
      <w:r>
        <w:rPr>
          <w:rFonts w:ascii="Garamond" w:hAnsi="Garamond"/>
        </w:rPr>
        <w:t xml:space="preserve">any income above and beyond </w:t>
      </w:r>
      <w:r w:rsidR="00997ECE">
        <w:rPr>
          <w:rFonts w:ascii="Garamond" w:hAnsi="Garamond"/>
        </w:rPr>
        <w:t xml:space="preserve">the </w:t>
      </w:r>
      <w:r w:rsidR="00997ECE">
        <w:rPr>
          <w:rFonts w:ascii="Garamond" w:hAnsi="Garamond"/>
          <w:i/>
        </w:rPr>
        <w:t>apophora</w:t>
      </w:r>
      <w:r w:rsidR="00997ECE">
        <w:rPr>
          <w:rFonts w:ascii="Garamond" w:hAnsi="Garamond"/>
        </w:rPr>
        <w:t xml:space="preserve"> would be retained in the slave’s possession and saved towards his or her manumission. Cf. the link between </w:t>
      </w:r>
      <w:r w:rsidR="00997ECE">
        <w:rPr>
          <w:rFonts w:ascii="Garamond" w:hAnsi="Garamond"/>
          <w:i/>
        </w:rPr>
        <w:t xml:space="preserve">apophora </w:t>
      </w:r>
      <w:r w:rsidR="00997ECE">
        <w:rPr>
          <w:rFonts w:ascii="Garamond" w:hAnsi="Garamond"/>
        </w:rPr>
        <w:t xml:space="preserve">and manumission stated in [Xen.] </w:t>
      </w:r>
      <w:r w:rsidR="00997ECE">
        <w:rPr>
          <w:rFonts w:ascii="Garamond" w:hAnsi="Garamond"/>
          <w:i/>
        </w:rPr>
        <w:t>Ath.Pol.</w:t>
      </w:r>
      <w:r w:rsidR="00B62744">
        <w:rPr>
          <w:rFonts w:ascii="Garamond" w:hAnsi="Garamond"/>
        </w:rPr>
        <w:t xml:space="preserve"> 1.11). Since Johnston’s</w:t>
      </w:r>
      <w:r w:rsidR="00997ECE">
        <w:rPr>
          <w:rFonts w:ascii="Garamond" w:hAnsi="Garamond"/>
        </w:rPr>
        <w:t xml:space="preserve"> </w:t>
      </w:r>
      <w:r w:rsidR="00997ECE">
        <w:rPr>
          <w:rFonts w:ascii="Garamond" w:hAnsi="Garamond"/>
          <w:i/>
        </w:rPr>
        <w:t>editio princeps</w:t>
      </w:r>
      <w:r w:rsidR="00997ECE">
        <w:rPr>
          <w:rFonts w:ascii="Garamond" w:hAnsi="Garamond"/>
        </w:rPr>
        <w:t xml:space="preserve">, little work has been done on this document, and the two scenarios suggested by </w:t>
      </w:r>
      <w:r w:rsidR="00B62744">
        <w:rPr>
          <w:rFonts w:ascii="Garamond" w:hAnsi="Garamond"/>
        </w:rPr>
        <w:t>him</w:t>
      </w:r>
      <w:r w:rsidR="00997ECE">
        <w:rPr>
          <w:rFonts w:ascii="Garamond" w:hAnsi="Garamond"/>
        </w:rPr>
        <w:t xml:space="preserve"> have not been challenged (cf. R. Thomas, ‘Reading, Writing, Public and Private “Literacies” in W.A. Johnson &amp; H.N. Parker, </w:t>
      </w:r>
      <w:r w:rsidR="00997ECE">
        <w:rPr>
          <w:rFonts w:ascii="Garamond" w:hAnsi="Garamond"/>
          <w:i/>
        </w:rPr>
        <w:t xml:space="preserve">Ancient Literacies: The Culture of Writing in Greece and </w:t>
      </w:r>
      <w:r w:rsidR="00997ECE" w:rsidRPr="00997ECE">
        <w:rPr>
          <w:rFonts w:ascii="Garamond" w:hAnsi="Garamond"/>
        </w:rPr>
        <w:t>Rome</w:t>
      </w:r>
      <w:r w:rsidR="00997ECE">
        <w:rPr>
          <w:rFonts w:ascii="Garamond" w:hAnsi="Garamond"/>
        </w:rPr>
        <w:t xml:space="preserve">. Oxford 2011: 13-45, at </w:t>
      </w:r>
      <w:r w:rsidR="00997ECE" w:rsidRPr="00997ECE">
        <w:rPr>
          <w:rFonts w:ascii="Garamond" w:hAnsi="Garamond"/>
        </w:rPr>
        <w:t>29</w:t>
      </w:r>
      <w:r w:rsidR="00997ECE">
        <w:rPr>
          <w:rFonts w:ascii="Garamond" w:hAnsi="Garamond"/>
        </w:rPr>
        <w:t>-30).</w:t>
      </w:r>
    </w:p>
    <w:p w14:paraId="588EABD3" w14:textId="214AC36E" w:rsidR="00B62744" w:rsidRPr="003C377F" w:rsidRDefault="00B62744">
      <w:pPr>
        <w:rPr>
          <w:rFonts w:ascii="Garamond" w:hAnsi="Garamond"/>
        </w:rPr>
      </w:pPr>
      <w:r>
        <w:rPr>
          <w:rFonts w:ascii="Garamond" w:hAnsi="Garamond"/>
        </w:rPr>
        <w:tab/>
        <w:t xml:space="preserve">However, there are major problems </w:t>
      </w:r>
      <w:r w:rsidR="00A92201">
        <w:rPr>
          <w:rFonts w:ascii="Garamond" w:hAnsi="Garamond"/>
        </w:rPr>
        <w:t xml:space="preserve">with both suggestions. We possess reasonable information on slave prices and </w:t>
      </w:r>
      <w:r w:rsidR="003C377F">
        <w:rPr>
          <w:rFonts w:ascii="Garamond" w:hAnsi="Garamond"/>
        </w:rPr>
        <w:t xml:space="preserve">wages from Athens in the fourth century, as well as limited information on </w:t>
      </w:r>
      <w:r w:rsidR="003C377F">
        <w:rPr>
          <w:rFonts w:ascii="Garamond" w:hAnsi="Garamond"/>
          <w:i/>
        </w:rPr>
        <w:t>apophora</w:t>
      </w:r>
      <w:r w:rsidR="003C377F">
        <w:rPr>
          <w:rFonts w:ascii="Garamond" w:hAnsi="Garamond"/>
        </w:rPr>
        <w:t xml:space="preserve"> payments. If we compare the figures on our ostrakon to these data, it is obvious that they are far too small to be credibly either </w:t>
      </w:r>
      <w:r w:rsidR="003C377F">
        <w:rPr>
          <w:rFonts w:ascii="Garamond" w:hAnsi="Garamond"/>
          <w:i/>
        </w:rPr>
        <w:t xml:space="preserve">apophora </w:t>
      </w:r>
      <w:r w:rsidR="003C377F">
        <w:rPr>
          <w:rFonts w:ascii="Garamond" w:hAnsi="Garamond"/>
        </w:rPr>
        <w:t xml:space="preserve">or </w:t>
      </w:r>
      <w:r w:rsidR="003C377F">
        <w:rPr>
          <w:rFonts w:ascii="Garamond" w:hAnsi="Garamond"/>
          <w:i/>
        </w:rPr>
        <w:t>misthos</w:t>
      </w:r>
      <w:r w:rsidR="003C377F">
        <w:rPr>
          <w:rFonts w:ascii="Garamond" w:hAnsi="Garamond"/>
        </w:rPr>
        <w:t xml:space="preserve"> payments relating to slaves. In this paper, I will provide a close study of the document and test it for ‘goodness of fit’ against other kinds of scenario known from Athens in this period. I aim to elucidate and delimit a range of possible circumstances other than the two hypotheses suggested by Johnston that might form plausible contexts in which to understand this document.</w:t>
      </w:r>
    </w:p>
    <w:sectPr w:rsidR="00B62744" w:rsidRPr="003C377F" w:rsidSect="005210B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3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AA"/>
    <w:rsid w:val="002C73AA"/>
    <w:rsid w:val="003C377F"/>
    <w:rsid w:val="005210B6"/>
    <w:rsid w:val="005A602C"/>
    <w:rsid w:val="00641C43"/>
    <w:rsid w:val="00997ECE"/>
    <w:rsid w:val="00A92201"/>
    <w:rsid w:val="00B6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2C65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383</Words>
  <Characters>2027</Characters>
  <Application>Microsoft Macintosh Word</Application>
  <DocSecurity>0</DocSecurity>
  <Lines>31</Lines>
  <Paragraphs>3</Paragraphs>
  <ScaleCrop>false</ScaleCrop>
  <Company>Edinburgh University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Lewis</dc:creator>
  <cp:keywords/>
  <dc:description/>
  <cp:lastModifiedBy>David Lewis</cp:lastModifiedBy>
  <cp:revision>5</cp:revision>
  <dcterms:created xsi:type="dcterms:W3CDTF">2016-03-01T16:06:00Z</dcterms:created>
  <dcterms:modified xsi:type="dcterms:W3CDTF">2016-03-01T16:40:00Z</dcterms:modified>
</cp:coreProperties>
</file>